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57A7B529">
      <w:r w:rsidR="05C66C31">
        <w:rPr/>
        <w:t>C&amp;B’s Unit Template Cheat Sheet</w:t>
      </w:r>
    </w:p>
    <w:p w:rsidR="05C66C31" w:rsidP="317E18D6" w:rsidRDefault="05C66C31" w14:paraId="5C07CC71" w14:textId="39D89538">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***Under the Constitution </w:t>
      </w:r>
    </w:p>
    <w:p w:rsidR="05C66C31" w:rsidP="317E18D6" w:rsidRDefault="05C66C31" w14:paraId="59D2F0F2" w14:textId="160C741B">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Article III, we changed Eligibility to Membership and added Sections 3-6</w:t>
      </w:r>
    </w:p>
    <w:p w:rsidR="05C66C31" w:rsidP="317E18D6" w:rsidRDefault="05C66C31" w14:paraId="0CE36A9F" w14:textId="7C0E06D0">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Section 3. A member whose dues are paid up- to-date and who is not subject to suspension or      expulsion shall be considered in good standing and the member shall be entitled to full membership rights, privileges, and benefits in the Unit</w:t>
      </w:r>
    </w:p>
    <w:p w:rsidR="05C66C31" w:rsidP="317E18D6" w:rsidRDefault="05C66C31" w14:paraId="6958617F" w14:textId="27948A4D">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596DCE08" w14:textId="0BF171EA">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Section 4. Each unit of the ALA, except department headquarters units. Has the authority to decide its membership and shall be responsible for verifying eligibility of perspective members. Transfer or new</w:t>
      </w:r>
    </w:p>
    <w:p w:rsidR="05C66C31" w:rsidP="317E18D6" w:rsidRDefault="05C66C31" w14:paraId="0F63EE97" w14:textId="5E322E97">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2054BDE3" w14:textId="686FCDCF">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Section 5. No person who is a member of an organization which has for its aim the overthrow of the United States Government or who subscribes to the principles of any group opposed to our form of government shall be eligible to become or remain a member of the American Legion Auxiliary.</w:t>
      </w:r>
    </w:p>
    <w:p w:rsidR="05C66C31" w:rsidP="317E18D6" w:rsidRDefault="05C66C31" w14:paraId="082EEB8B" w14:textId="15A4D2A0">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722DFCF8" w14:textId="1DBFE1C2">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Section 6. Membership can only be offered upon an affirmative vote of the unit members.</w:t>
      </w:r>
    </w:p>
    <w:p w:rsidR="317E18D6" w:rsidP="317E18D6" w:rsidRDefault="317E18D6" w14:paraId="0FAC5E28" w14:textId="150B913B">
      <w:pPr>
        <w:shd w:val="clear" w:color="auto" w:fill="FFFFFF" w:themeFill="background1"/>
        <w:spacing w:before="0" w:beforeAutospacing="off" w:after="0" w:afterAutospacing="off"/>
      </w:pPr>
    </w:p>
    <w:p w:rsidR="05C66C31" w:rsidP="317E18D6" w:rsidRDefault="05C66C31" w14:paraId="3D915999" w14:textId="0611F1B3">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***Under Bylaws Article 1 Unit Organization, we added and removed several sections, the easiest thing to do is replace current Article with this...</w:t>
      </w:r>
    </w:p>
    <w:p w:rsidR="05C66C31" w:rsidP="317E18D6" w:rsidRDefault="05C66C31" w14:paraId="672A76D2" w14:textId="02BC5C91">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Section 1.          Units of the American Legion Auxiliary are separate entities that operate Independently as affiliates of the American Legion Auxiliary National Organization. Units shall be governed by their own Unit Constitution and/or Bylaws which shall not Conflict with the National Constitution &amp; Bylaws, National Standing Rules, National Rules and policies, Department Constitution And Bylaws, or Department rules and policies.</w:t>
      </w:r>
    </w:p>
    <w:p w:rsidR="05C66C31" w:rsidP="317E18D6" w:rsidRDefault="05C66C31" w14:paraId="2041BDE8" w14:textId="65483A4F">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22B1D2B0" w14:textId="4A3D0010">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Section 2.          Those who desire to form a Unit shall apply to the Post to which it will attach and the Department in which it resides as provided in the National Constitution, Bylaws, and Standing Rules. Upon receipt of a properly executed charter application from the Department, the Unit charter shall be signed by the National President and National Secretary. </w:t>
      </w:r>
    </w:p>
    <w:p w:rsidR="05C66C31" w:rsidP="317E18D6" w:rsidRDefault="05C66C31" w14:paraId="38F674A5" w14:textId="4A0860B3">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4BBC13E1" w14:textId="5FDD4787">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Section 3.    The minimum membership of a Unit shall be ten (10) Senior Members, except for the Department Headquarters Unit that shall have no minimum membership requirement. </w:t>
      </w:r>
    </w:p>
    <w:p w:rsidR="05C66C31" w:rsidP="317E18D6" w:rsidRDefault="05C66C31" w14:paraId="033C29FF" w14:textId="071B75C8">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70FBCD92" w14:textId="1ADDD96E">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Section 4.        A Unit shall be given the name, location, and number of The American Legion Post to which it is attached. </w:t>
      </w:r>
    </w:p>
    <w:p w:rsidR="05C66C31" w:rsidP="317E18D6" w:rsidRDefault="05C66C31" w14:paraId="64AF58E4" w14:textId="32C5D97C">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44034F89" w14:textId="1CAB78A9">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Section 5.    The qualifications and process for establishing and existing as a Unit in good standing shall be as provided in the Standing Rules. </w:t>
      </w:r>
    </w:p>
    <w:p w:rsidR="05C66C31" w:rsidP="317E18D6" w:rsidRDefault="05C66C31" w14:paraId="6B5E6A0C" w14:textId="6F3F5B16">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2E71D8BF" w14:textId="3D1E1CF2">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Section 6.     All persons handling funds shall be bonded through Department Headquarters by a reputable, solvent bonding and surety company; or shall be covered by the fidelity/crime insurance in an adequate amount as determined by the Unit. </w:t>
      </w:r>
    </w:p>
    <w:p w:rsidR="05C66C31" w:rsidP="317E18D6" w:rsidRDefault="05C66C31" w14:paraId="1B3C62A5" w14:textId="7C94B17C">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64008168" w14:textId="3408591A">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Section 7. Units shall be required to adopt a Unit Constitution, Bylaws and Standing Rules. These documents shall be reviewed annually by the Unit and all changes reviewed by the Constitution, Bylaws and Rules Committee. Thereafter, one copy shall be filed in Department Headquarters by the Department Constitution, Bylaws and Standing Rules.</w:t>
      </w:r>
    </w:p>
    <w:p w:rsidR="05C66C31" w:rsidP="317E18D6" w:rsidRDefault="05C66C31" w14:paraId="7F56E182" w14:textId="3742844D">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 </w:t>
      </w:r>
    </w:p>
    <w:p w:rsidR="05C66C31" w:rsidP="317E18D6" w:rsidRDefault="05C66C31" w14:paraId="37879301" w14:textId="70C74C97">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***Under Bylaws we added Article XI Discilpline Section 1a-1b</w:t>
      </w:r>
    </w:p>
    <w:p w:rsidR="05C66C31" w:rsidP="317E18D6" w:rsidRDefault="05C66C31" w14:paraId="178BFEAD" w14:textId="5C1199B0">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 xml:space="preserve">***Under Standing Rules </w:t>
      </w:r>
    </w:p>
    <w:p w:rsidR="05C66C31" w:rsidP="317E18D6" w:rsidRDefault="05C66C31" w14:paraId="67885C80" w14:textId="796D8BF3">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Article VII Membership, we added #8</w:t>
      </w:r>
    </w:p>
    <w:p w:rsidR="05C66C31" w:rsidP="317E18D6" w:rsidRDefault="05C66C31" w14:paraId="77040549" w14:textId="199E9256">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8.      Membership can only be offered upon an affirmative vote of the unit members, unless other arrangements have been made and approved by the Unit .(see Constitution Article III Membership #6)</w:t>
      </w:r>
    </w:p>
    <w:p w:rsidR="05C66C31" w:rsidP="317E18D6" w:rsidRDefault="05C66C31" w14:paraId="7367BC8B" w14:textId="0568A921">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***Under Standing Rules Article XI Finance, we changed #5 to read;</w:t>
      </w:r>
    </w:p>
    <w:p w:rsidR="05C66C31" w:rsidP="317E18D6" w:rsidRDefault="05C66C31" w14:paraId="4A3E7A3D" w14:textId="2045BE82">
      <w:pPr>
        <w:shd w:val="clear" w:color="auto" w:fill="FFFFFF" w:themeFill="background1"/>
        <w:spacing w:before="0" w:beforeAutospacing="off" w:after="0" w:afterAutospacing="off"/>
      </w:pPr>
      <w:r w:rsidRPr="317E18D6" w:rsidR="05C66C31">
        <w:rPr>
          <w:rFonts w:ascii="Segoe UI" w:hAnsi="Segoe UI" w:eastAsia="Segoe UI" w:cs="Segoe UI"/>
          <w:b w:val="0"/>
          <w:bCs w:val="0"/>
          <w:i w:val="0"/>
          <w:iCs w:val="0"/>
          <w:caps w:val="0"/>
          <w:smallCaps w:val="0"/>
          <w:noProof w:val="0"/>
          <w:color w:val="242424"/>
          <w:sz w:val="22"/>
          <w:szCs w:val="22"/>
          <w:lang w:val="en-US"/>
        </w:rPr>
        <w:t>1.     Any funds to be used for Unit functions must be approved by the Unit members. Receipts for all expenditures must be turned into the Treasurer to meet the requirements of the IRS.</w:t>
      </w:r>
    </w:p>
    <w:p w:rsidR="317E18D6" w:rsidP="317E18D6" w:rsidRDefault="317E18D6" w14:paraId="4510690E" w14:textId="36C7E45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66C5C"/>
    <w:rsid w:val="05C66C31"/>
    <w:rsid w:val="317E18D6"/>
    <w:rsid w:val="37D6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6C5C"/>
  <w15:chartTrackingRefBased/>
  <w15:docId w15:val="{71C9663A-23BA-4621-AE4E-D15B7E298F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2026-01-31T22:21:38.2470131Z</dcterms:created>
  <dcterms:modified xsi:type="dcterms:W3CDTF">2026-01-31T22:23:18.6210942Z</dcterms:modified>
  <dc:creator>Secretary</dc:creator>
  <lastModifiedBy>Secretary</lastModifiedBy>
</coreProperties>
</file>